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24CF" w14:textId="77777777" w:rsidR="007B712D" w:rsidRDefault="00D83659" w:rsidP="00C914C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1F1D720" wp14:editId="4EE52D57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4981575" cy="1609802"/>
            <wp:effectExtent l="0" t="0" r="0" b="9525"/>
            <wp:wrapNone/>
            <wp:docPr id="8" name="Picture 2" descr="GreaterCinci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Cinci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0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DF0F0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49E11BED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5BF92CEF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013DC4DD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39B60550" w14:textId="77777777" w:rsidR="007B712D" w:rsidRDefault="007B712D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</w:p>
    <w:p w14:paraId="16F69C4B" w14:textId="2C46E914" w:rsidR="007B712D" w:rsidRDefault="007B712D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</w:p>
    <w:p w14:paraId="0DD69A1A" w14:textId="3768683A" w:rsidR="007B712D" w:rsidRDefault="00730018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E797AAC" wp14:editId="0471A6C2">
            <wp:simplePos x="0" y="0"/>
            <wp:positionH relativeFrom="column">
              <wp:posOffset>466725</wp:posOffset>
            </wp:positionH>
            <wp:positionV relativeFrom="paragraph">
              <wp:posOffset>7620</wp:posOffset>
            </wp:positionV>
            <wp:extent cx="1905000" cy="480695"/>
            <wp:effectExtent l="19050" t="0" r="0" b="0"/>
            <wp:wrapNone/>
            <wp:docPr id="1" name="Picture 5" descr="new logo_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_o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4" t="11864"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7C41B59" wp14:editId="49094A3B">
            <wp:simplePos x="0" y="0"/>
            <wp:positionH relativeFrom="column">
              <wp:posOffset>3952875</wp:posOffset>
            </wp:positionH>
            <wp:positionV relativeFrom="paragraph">
              <wp:posOffset>6985</wp:posOffset>
            </wp:positionV>
            <wp:extent cx="2466975" cy="384810"/>
            <wp:effectExtent l="19050" t="0" r="9525" b="0"/>
            <wp:wrapNone/>
            <wp:docPr id="3" name="Picture 3" descr="http://www.eatright.or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tright.org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29B67" w14:textId="37CC1EDE" w:rsidR="007B712D" w:rsidRDefault="007B712D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</w:p>
    <w:p w14:paraId="2ADADC45" w14:textId="77777777" w:rsidR="007B712D" w:rsidRDefault="007B712D" w:rsidP="007A1B3E">
      <w:pPr>
        <w:jc w:val="center"/>
        <w:rPr>
          <w:rFonts w:ascii="Tahoma" w:hAnsi="Tahoma" w:cs="Tahoma"/>
          <w:b/>
          <w:sz w:val="28"/>
          <w:szCs w:val="28"/>
        </w:rPr>
      </w:pPr>
      <w:r w:rsidRPr="00327B8D">
        <w:rPr>
          <w:rFonts w:ascii="Tahoma" w:hAnsi="Tahoma" w:cs="Tahoma"/>
          <w:b/>
          <w:sz w:val="28"/>
          <w:szCs w:val="28"/>
        </w:rPr>
        <w:t>*</w:t>
      </w:r>
      <w:r w:rsidR="00CF4FE1">
        <w:rPr>
          <w:rFonts w:ascii="Tahoma" w:hAnsi="Tahoma" w:cs="Tahoma"/>
          <w:b/>
          <w:sz w:val="28"/>
          <w:szCs w:val="28"/>
        </w:rPr>
        <w:t>Journal Club East*</w:t>
      </w:r>
    </w:p>
    <w:p w14:paraId="3D729655" w14:textId="21C98A88" w:rsidR="00CF4FE1" w:rsidRDefault="00053113" w:rsidP="00F0169E">
      <w:pPr>
        <w:jc w:val="center"/>
        <w:rPr>
          <w:rFonts w:ascii="Tahoma" w:hAnsi="Tahoma" w:cs="Tahoma"/>
          <w:b/>
          <w:sz w:val="28"/>
          <w:szCs w:val="28"/>
        </w:rPr>
      </w:pPr>
      <w:r w:rsidRPr="00053113">
        <w:rPr>
          <w:rFonts w:ascii="Tahoma" w:hAnsi="Tahoma" w:cs="Tahoma"/>
          <w:b/>
          <w:sz w:val="28"/>
          <w:szCs w:val="28"/>
        </w:rPr>
        <w:t>The Gut Microbiome and Related Innovations in Research</w:t>
      </w:r>
    </w:p>
    <w:p w14:paraId="7E852A02" w14:textId="5D725FB2" w:rsidR="00CF4FE1" w:rsidRPr="00CF4FE1" w:rsidRDefault="007B712D" w:rsidP="00CF4FE1">
      <w:pPr>
        <w:ind w:left="720"/>
        <w:rPr>
          <w:rFonts w:ascii="Tahoma" w:hAnsi="Tahoma" w:cs="Tahoma"/>
        </w:rPr>
      </w:pPr>
      <w:r w:rsidRPr="009B72EE">
        <w:rPr>
          <w:rFonts w:ascii="Tahoma" w:hAnsi="Tahoma" w:cs="Tahoma"/>
          <w:b/>
        </w:rPr>
        <w:t xml:space="preserve">Date/Time: </w:t>
      </w:r>
      <w:r w:rsidR="00547A4F">
        <w:rPr>
          <w:rFonts w:ascii="Tahoma" w:hAnsi="Tahoma" w:cs="Tahoma"/>
        </w:rPr>
        <w:t xml:space="preserve">Tuesday </w:t>
      </w:r>
      <w:r w:rsidR="00F64143">
        <w:rPr>
          <w:rFonts w:ascii="Tahoma" w:hAnsi="Tahoma" w:cs="Tahoma"/>
        </w:rPr>
        <w:t>January 9th, 2018. 5:0</w:t>
      </w:r>
      <w:r w:rsidR="00003992">
        <w:rPr>
          <w:rFonts w:ascii="Tahoma" w:hAnsi="Tahoma" w:cs="Tahoma"/>
        </w:rPr>
        <w:t>0 pm – 7:0</w:t>
      </w:r>
      <w:r w:rsidR="00CF4FE1">
        <w:rPr>
          <w:rFonts w:ascii="Tahoma" w:hAnsi="Tahoma" w:cs="Tahoma"/>
        </w:rPr>
        <w:t>0 pm</w:t>
      </w:r>
    </w:p>
    <w:p w14:paraId="55A987BC" w14:textId="77777777" w:rsidR="007B712D" w:rsidRDefault="007B712D" w:rsidP="00F0169E">
      <w:pPr>
        <w:tabs>
          <w:tab w:val="left" w:pos="5415"/>
        </w:tabs>
        <w:ind w:left="720"/>
        <w:rPr>
          <w:rFonts w:ascii="Tahoma" w:hAnsi="Tahoma" w:cs="Tahoma"/>
          <w:lang w:val="fr-FR"/>
        </w:rPr>
      </w:pPr>
      <w:r w:rsidRPr="009B72EE">
        <w:rPr>
          <w:rFonts w:ascii="Tahoma" w:hAnsi="Tahoma" w:cs="Tahoma"/>
          <w:b/>
        </w:rPr>
        <w:t>Location:</w:t>
      </w:r>
      <w:r w:rsidRPr="009B72EE">
        <w:rPr>
          <w:rFonts w:ascii="Tahoma" w:hAnsi="Tahoma" w:cs="Tahoma"/>
        </w:rPr>
        <w:t xml:space="preserve">  </w:t>
      </w:r>
      <w:r w:rsidR="00CF4FE1">
        <w:rPr>
          <w:rFonts w:ascii="Tahoma" w:hAnsi="Tahoma" w:cs="Tahoma"/>
        </w:rPr>
        <w:t>Hyde Park Public Library</w:t>
      </w:r>
      <w:r w:rsidR="00F0169E">
        <w:rPr>
          <w:rFonts w:ascii="Tahoma" w:hAnsi="Tahoma" w:cs="Tahoma"/>
        </w:rPr>
        <w:t xml:space="preserve"> / </w:t>
      </w:r>
      <w:proofErr w:type="spellStart"/>
      <w:r w:rsidRPr="00AB2569">
        <w:rPr>
          <w:rFonts w:ascii="Tahoma" w:hAnsi="Tahoma" w:cs="Tahoma"/>
          <w:lang w:val="fr-FR"/>
        </w:rPr>
        <w:t>Provides</w:t>
      </w:r>
      <w:proofErr w:type="spellEnd"/>
      <w:r w:rsidRPr="00AB2569">
        <w:rPr>
          <w:rFonts w:ascii="Tahoma" w:hAnsi="Tahoma" w:cs="Tahoma"/>
          <w:lang w:val="fr-FR"/>
        </w:rPr>
        <w:t xml:space="preserve"> 2 </w:t>
      </w:r>
      <w:proofErr w:type="spellStart"/>
      <w:r w:rsidRPr="00AB2569">
        <w:rPr>
          <w:rFonts w:ascii="Tahoma" w:hAnsi="Tahoma" w:cs="Tahoma"/>
          <w:lang w:val="fr-FR"/>
        </w:rPr>
        <w:t>CEU’s</w:t>
      </w:r>
      <w:proofErr w:type="spellEnd"/>
      <w:r w:rsidRPr="00AB2569">
        <w:rPr>
          <w:rFonts w:ascii="Tahoma" w:hAnsi="Tahoma" w:cs="Tahoma"/>
          <w:lang w:val="fr-FR"/>
        </w:rPr>
        <w:t xml:space="preserve">, Target audience: </w:t>
      </w:r>
      <w:proofErr w:type="spellStart"/>
      <w:r w:rsidRPr="00AB2569">
        <w:rPr>
          <w:rFonts w:ascii="Tahoma" w:hAnsi="Tahoma" w:cs="Tahoma"/>
          <w:lang w:val="fr-FR"/>
        </w:rPr>
        <w:t>RD’s</w:t>
      </w:r>
      <w:proofErr w:type="spellEnd"/>
      <w:r w:rsidRPr="00AB2569">
        <w:rPr>
          <w:rFonts w:ascii="Tahoma" w:hAnsi="Tahoma" w:cs="Tahoma"/>
          <w:lang w:val="fr-FR"/>
        </w:rPr>
        <w:t xml:space="preserve"> &amp; </w:t>
      </w:r>
      <w:proofErr w:type="spellStart"/>
      <w:r w:rsidRPr="00AB2569">
        <w:rPr>
          <w:rFonts w:ascii="Tahoma" w:hAnsi="Tahoma" w:cs="Tahoma"/>
          <w:lang w:val="fr-FR"/>
        </w:rPr>
        <w:t>DTR’s</w:t>
      </w:r>
      <w:proofErr w:type="spellEnd"/>
    </w:p>
    <w:p w14:paraId="63C91E9F" w14:textId="47DC9FD7" w:rsidR="007B712D" w:rsidRDefault="00B97441" w:rsidP="00462F3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7B712D" w:rsidRPr="00AF5034">
        <w:rPr>
          <w:rFonts w:ascii="Tahoma" w:hAnsi="Tahoma" w:cs="Tahoma"/>
          <w:b/>
          <w:sz w:val="22"/>
          <w:szCs w:val="22"/>
        </w:rPr>
        <w:t>RSVP by</w:t>
      </w:r>
      <w:r w:rsidR="000C02E5">
        <w:rPr>
          <w:rFonts w:ascii="Tahoma" w:hAnsi="Tahoma" w:cs="Tahoma"/>
          <w:b/>
          <w:sz w:val="22"/>
          <w:szCs w:val="22"/>
        </w:rPr>
        <w:t xml:space="preserve"> </w:t>
      </w:r>
      <w:r w:rsidR="00F64143">
        <w:rPr>
          <w:rFonts w:ascii="Tahoma" w:hAnsi="Tahoma" w:cs="Tahoma"/>
          <w:b/>
          <w:sz w:val="22"/>
          <w:szCs w:val="22"/>
        </w:rPr>
        <w:t>January 5th, 2018</w:t>
      </w:r>
      <w:r>
        <w:rPr>
          <w:rFonts w:ascii="Tahoma" w:hAnsi="Tahoma" w:cs="Tahoma"/>
          <w:b/>
          <w:sz w:val="22"/>
          <w:szCs w:val="22"/>
        </w:rPr>
        <w:t xml:space="preserve"> to </w:t>
      </w:r>
      <w:r w:rsidR="00547A4F">
        <w:rPr>
          <w:rFonts w:ascii="Tahoma" w:hAnsi="Tahoma" w:cs="Tahoma"/>
          <w:b/>
          <w:sz w:val="22"/>
          <w:szCs w:val="22"/>
        </w:rPr>
        <w:t>Morgan Cheung</w:t>
      </w:r>
      <w:r w:rsidR="007B712D" w:rsidRPr="00AF5034">
        <w:rPr>
          <w:rFonts w:ascii="Tahoma" w:hAnsi="Tahoma" w:cs="Tahoma"/>
          <w:b/>
          <w:sz w:val="22"/>
          <w:szCs w:val="22"/>
        </w:rPr>
        <w:t xml:space="preserve"> @ </w:t>
      </w:r>
      <w:r w:rsidR="00547A4F">
        <w:rPr>
          <w:rFonts w:ascii="Tahoma" w:hAnsi="Tahoma" w:cs="Tahoma"/>
          <w:b/>
          <w:sz w:val="22"/>
          <w:szCs w:val="22"/>
        </w:rPr>
        <w:t>MorganLCheung@gmail.com</w:t>
      </w:r>
    </w:p>
    <w:p w14:paraId="35A8A61C" w14:textId="77777777" w:rsidR="00CC77CE" w:rsidRDefault="00CC77CE" w:rsidP="00CC77CE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</w:p>
    <w:p w14:paraId="21F94CAD" w14:textId="77777777" w:rsidR="00CC77CE" w:rsidRDefault="00CC77CE" w:rsidP="00CC77CE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Learning Objectives: at the end of the </w:t>
      </w:r>
      <w:proofErr w:type="spellStart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>review</w:t>
      </w:r>
      <w:proofErr w:type="spellEnd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participants </w:t>
      </w:r>
      <w:proofErr w:type="spellStart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>will</w:t>
      </w:r>
      <w:proofErr w:type="spellEnd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>be</w:t>
      </w:r>
      <w:proofErr w:type="spellEnd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able to …</w:t>
      </w:r>
    </w:p>
    <w:p w14:paraId="3CD5C05B" w14:textId="464D328A" w:rsidR="000E3FFB" w:rsidRPr="000E3FFB" w:rsidRDefault="000E3FFB" w:rsidP="000E3FFB">
      <w:pPr>
        <w:pStyle w:val="ListParagraph"/>
        <w:numPr>
          <w:ilvl w:val="0"/>
          <w:numId w:val="10"/>
        </w:numPr>
        <w:rPr>
          <w:rFonts w:ascii="Tahoma" w:hAnsi="Tahoma" w:cs="Tahoma"/>
          <w:color w:val="000000"/>
          <w:sz w:val="22"/>
          <w:szCs w:val="22"/>
          <w:lang w:val="fr-FR"/>
        </w:rPr>
      </w:pP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Maintains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the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knowledge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and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skill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to manage a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variety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of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disease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states and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clinical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conditions</w:t>
      </w:r>
    </w:p>
    <w:p w14:paraId="31323E9D" w14:textId="15C45E0C" w:rsidR="000E3FFB" w:rsidRPr="000E3FFB" w:rsidRDefault="000E3FFB" w:rsidP="000E3FFB">
      <w:pPr>
        <w:pStyle w:val="ListParagraph"/>
        <w:numPr>
          <w:ilvl w:val="0"/>
          <w:numId w:val="10"/>
        </w:numPr>
        <w:rPr>
          <w:rFonts w:ascii="Tahoma" w:hAnsi="Tahoma" w:cs="Tahoma"/>
          <w:color w:val="000000"/>
          <w:sz w:val="22"/>
          <w:szCs w:val="22"/>
          <w:lang w:val="fr-FR"/>
        </w:rPr>
      </w:pP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Interprets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data to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make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recommendations</w:t>
      </w:r>
      <w:proofErr w:type="spellEnd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 xml:space="preserve"> and to </w:t>
      </w:r>
      <w:proofErr w:type="spellStart"/>
      <w:r w:rsidRPr="000E3FFB">
        <w:rPr>
          <w:rFonts w:ascii="Tahoma" w:hAnsi="Tahoma" w:cs="Tahoma"/>
          <w:color w:val="000000"/>
          <w:sz w:val="22"/>
          <w:szCs w:val="22"/>
          <w:lang w:val="fr-FR"/>
        </w:rPr>
        <w:t>in</w:t>
      </w:r>
      <w:r>
        <w:rPr>
          <w:rFonts w:ascii="Tahoma" w:hAnsi="Tahoma" w:cs="Tahoma"/>
          <w:color w:val="000000"/>
          <w:sz w:val="22"/>
          <w:szCs w:val="22"/>
          <w:lang w:val="fr-FR"/>
        </w:rPr>
        <w:t>form</w:t>
      </w:r>
      <w:proofErr w:type="spellEnd"/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fr-FR"/>
        </w:rPr>
        <w:t>decisions</w:t>
      </w:r>
      <w:proofErr w:type="spellEnd"/>
    </w:p>
    <w:p w14:paraId="48D472B3" w14:textId="77777777" w:rsidR="006B32E4" w:rsidRPr="006B32E4" w:rsidRDefault="000E3FFB" w:rsidP="00784003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Applies</w:t>
      </w:r>
      <w:proofErr w:type="spellEnd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research</w:t>
      </w:r>
      <w:proofErr w:type="spellEnd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/</w:t>
      </w: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evidence-based</w:t>
      </w:r>
      <w:proofErr w:type="spellEnd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findings</w:t>
      </w:r>
      <w:proofErr w:type="spellEnd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 xml:space="preserve"> to </w:t>
      </w: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improve</w:t>
      </w:r>
      <w:proofErr w:type="spellEnd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 xml:space="preserve"> practice, service </w:t>
      </w: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delivery</w:t>
      </w:r>
      <w:proofErr w:type="spellEnd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 xml:space="preserve">, and </w:t>
      </w: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health</w:t>
      </w:r>
      <w:proofErr w:type="spellEnd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 xml:space="preserve"> and nutrition of </w:t>
      </w:r>
      <w:proofErr w:type="spellStart"/>
      <w:r w:rsidRPr="006B32E4">
        <w:rPr>
          <w:rFonts w:ascii="Tahoma" w:hAnsi="Tahoma" w:cs="Tahoma"/>
          <w:color w:val="000000"/>
          <w:sz w:val="22"/>
          <w:szCs w:val="22"/>
          <w:lang w:val="fr-FR"/>
        </w:rPr>
        <w:t>customers</w:t>
      </w:r>
      <w:proofErr w:type="spellEnd"/>
    </w:p>
    <w:p w14:paraId="71E12A61" w14:textId="1941258E" w:rsidR="006B32E4" w:rsidRPr="006B32E4" w:rsidRDefault="00937348" w:rsidP="006B32E4">
      <w:pPr>
        <w:rPr>
          <w:rFonts w:ascii="Tahoma" w:hAnsi="Tahoma" w:cs="Tahoma"/>
          <w:b/>
          <w:sz w:val="20"/>
          <w:szCs w:val="20"/>
        </w:rPr>
      </w:pPr>
      <w:r w:rsidRPr="006B32E4">
        <w:rPr>
          <w:rFonts w:ascii="Tahoma" w:hAnsi="Tahoma" w:cs="Tahoma"/>
          <w:b/>
          <w:sz w:val="20"/>
          <w:szCs w:val="20"/>
        </w:rPr>
        <w:t>If you would like to attend, p</w:t>
      </w:r>
      <w:r w:rsidR="00B97441" w:rsidRPr="006B32E4">
        <w:rPr>
          <w:rFonts w:ascii="Tahoma" w:hAnsi="Tahoma" w:cs="Tahoma"/>
          <w:b/>
          <w:sz w:val="20"/>
          <w:szCs w:val="20"/>
        </w:rPr>
        <w:t>lease select an article. Once you have selected an ar</w:t>
      </w:r>
      <w:r w:rsidRPr="006B32E4">
        <w:rPr>
          <w:rFonts w:ascii="Tahoma" w:hAnsi="Tahoma" w:cs="Tahoma"/>
          <w:b/>
          <w:sz w:val="20"/>
          <w:szCs w:val="20"/>
        </w:rPr>
        <w:t>ticle notify the coordinator of your select</w:t>
      </w:r>
      <w:r w:rsidR="00EC084E" w:rsidRPr="006B32E4">
        <w:rPr>
          <w:rFonts w:ascii="Tahoma" w:hAnsi="Tahoma" w:cs="Tahoma"/>
          <w:b/>
          <w:sz w:val="20"/>
          <w:szCs w:val="20"/>
        </w:rPr>
        <w:t>ion</w:t>
      </w:r>
      <w:r w:rsidR="00701250" w:rsidRPr="006B32E4">
        <w:rPr>
          <w:rFonts w:ascii="Tahoma" w:hAnsi="Tahoma" w:cs="Tahoma"/>
          <w:b/>
          <w:sz w:val="20"/>
          <w:szCs w:val="20"/>
        </w:rPr>
        <w:t xml:space="preserve"> and a PDF of the article will be provided to you</w:t>
      </w:r>
      <w:r w:rsidR="009A2891" w:rsidRPr="006B32E4">
        <w:rPr>
          <w:rFonts w:ascii="Tahoma" w:hAnsi="Tahoma" w:cs="Tahoma"/>
          <w:b/>
          <w:sz w:val="20"/>
          <w:szCs w:val="20"/>
        </w:rPr>
        <w:t>.</w:t>
      </w:r>
    </w:p>
    <w:p w14:paraId="0FBF19D9" w14:textId="77777777" w:rsidR="006B32E4" w:rsidRDefault="006B32E4" w:rsidP="006B32E4">
      <w:pPr>
        <w:rPr>
          <w:rFonts w:ascii="Tahoma" w:hAnsi="Tahoma" w:cs="Tahoma"/>
          <w:b/>
          <w:sz w:val="20"/>
          <w:szCs w:val="20"/>
        </w:rPr>
      </w:pPr>
    </w:p>
    <w:p w14:paraId="686617B5" w14:textId="6623AD18" w:rsidR="00BE1EF0" w:rsidRPr="006B32E4" w:rsidRDefault="00B97441" w:rsidP="006B32E4">
      <w:pPr>
        <w:rPr>
          <w:rFonts w:ascii="Tahoma" w:hAnsi="Tahoma" w:cs="Tahoma"/>
          <w:b/>
          <w:sz w:val="20"/>
          <w:szCs w:val="20"/>
        </w:rPr>
      </w:pPr>
      <w:r w:rsidRPr="006B32E4">
        <w:rPr>
          <w:rFonts w:ascii="Tahoma" w:hAnsi="Tahoma" w:cs="Tahoma"/>
          <w:b/>
          <w:sz w:val="20"/>
          <w:szCs w:val="20"/>
        </w:rPr>
        <w:t>Articles</w:t>
      </w:r>
      <w:r w:rsidR="00580838" w:rsidRPr="006B32E4">
        <w:rPr>
          <w:rFonts w:ascii="Tahoma" w:hAnsi="Tahoma" w:cs="Tahoma"/>
          <w:b/>
          <w:sz w:val="20"/>
          <w:szCs w:val="20"/>
        </w:rPr>
        <w:t xml:space="preserve"> (please see following pages for more information on this meeting’s articles)</w:t>
      </w:r>
      <w:r w:rsidRPr="006B32E4">
        <w:rPr>
          <w:rFonts w:ascii="Tahoma" w:hAnsi="Tahoma" w:cs="Tahoma"/>
          <w:b/>
          <w:sz w:val="20"/>
          <w:szCs w:val="20"/>
        </w:rPr>
        <w:t xml:space="preserve">: </w:t>
      </w:r>
    </w:p>
    <w:p w14:paraId="31A5296E" w14:textId="316F84CF" w:rsidR="00F64143" w:rsidRPr="00787297" w:rsidRDefault="00F64143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The Fiber Gap and the Disappearing Gut Microbiome: Implications for Human Nutrition</w:t>
      </w:r>
    </w:p>
    <w:p w14:paraId="5BC618A1" w14:textId="2CB1A5B1" w:rsidR="00F64143" w:rsidRPr="00787297" w:rsidRDefault="00CB70E3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Dietary Effects on Human Gut Microbiome Diversity</w:t>
      </w:r>
    </w:p>
    <w:p w14:paraId="6AF2D122" w14:textId="3DEC9D34" w:rsidR="009308E1" w:rsidRPr="00787297" w:rsidRDefault="009308E1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Fecal microbiota transplantation in patients with slow-transit constipation: A randomized, clinical trial</w:t>
      </w:r>
    </w:p>
    <w:p w14:paraId="10F59DCD" w14:textId="05C664EC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Fecal transplant: A safe and sustainable clinical therapy for restoring intestinal microbial balance in human disease?</w:t>
      </w:r>
    </w:p>
    <w:p w14:paraId="271A5F98" w14:textId="34E9E673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Fecal Microbiota Transplant (periodical)</w:t>
      </w:r>
    </w:p>
    <w:p w14:paraId="7D9C7EEE" w14:textId="77BE7B9A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Gut microbiome and metabolic syndrome</w:t>
      </w:r>
    </w:p>
    <w:p w14:paraId="6198A89F" w14:textId="15B03D75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Improvement of Insulin Sensitivity after Lean Donor Feces in Metabolic Syndrome Is Driven by Baseline Intestinal Microbiota Composition</w:t>
      </w:r>
    </w:p>
    <w:p w14:paraId="25326A4D" w14:textId="58188AE6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Is fecal microbiota transplantation (FMT) an effective treatment for patients with functional gastrointestinal disorders (FGID)?</w:t>
      </w:r>
    </w:p>
    <w:p w14:paraId="409577D1" w14:textId="7614E088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 xml:space="preserve">Low Level Engraftment and Improvement following a Single </w:t>
      </w:r>
      <w:proofErr w:type="spellStart"/>
      <w:r w:rsidRPr="00787297">
        <w:rPr>
          <w:rFonts w:ascii="Tahoma" w:hAnsi="Tahoma" w:cs="Tahoma"/>
          <w:sz w:val="22"/>
          <w:szCs w:val="22"/>
        </w:rPr>
        <w:t>Colonoscopic</w:t>
      </w:r>
      <w:proofErr w:type="spellEnd"/>
      <w:r w:rsidRPr="00787297">
        <w:rPr>
          <w:rFonts w:ascii="Tahoma" w:hAnsi="Tahoma" w:cs="Tahoma"/>
          <w:sz w:val="22"/>
          <w:szCs w:val="22"/>
        </w:rPr>
        <w:t xml:space="preserve"> Administration of Fecal Microbiota to Patients with Ulcerative Colitis</w:t>
      </w:r>
    </w:p>
    <w:p w14:paraId="19F6C9EE" w14:textId="6C908C37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Obesity and the gut microbiome: Striving for causality</w:t>
      </w:r>
    </w:p>
    <w:p w14:paraId="429C73C8" w14:textId="4F3924F0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The shrinking human gut microbiome</w:t>
      </w:r>
    </w:p>
    <w:p w14:paraId="5E4AF236" w14:textId="0DCD5081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Role of the Gut Microbiome in the Pathogenesis of Obesity and Obesity-Related Metabolic Dysfunction</w:t>
      </w:r>
    </w:p>
    <w:p w14:paraId="79F62A04" w14:textId="77777777" w:rsidR="00787297" w:rsidRPr="00787297" w:rsidRDefault="00787297" w:rsidP="00787297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Systematic Review: Adverse Events of Fecal Microbiota Transplantation</w:t>
      </w:r>
    </w:p>
    <w:p w14:paraId="18960B4E" w14:textId="46D0E7E7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 xml:space="preserve">Systematic review with meta-analysis: long-term outcomes of </w:t>
      </w:r>
      <w:proofErr w:type="spellStart"/>
      <w:r w:rsidRPr="00787297">
        <w:rPr>
          <w:rFonts w:ascii="Tahoma" w:hAnsi="Tahoma" w:cs="Tahoma"/>
          <w:sz w:val="22"/>
          <w:szCs w:val="22"/>
        </w:rPr>
        <w:t>faecal</w:t>
      </w:r>
      <w:proofErr w:type="spellEnd"/>
      <w:r w:rsidRPr="00787297">
        <w:rPr>
          <w:rFonts w:ascii="Tahoma" w:hAnsi="Tahoma" w:cs="Tahoma"/>
          <w:sz w:val="22"/>
          <w:szCs w:val="22"/>
        </w:rPr>
        <w:t xml:space="preserve"> microbiota transplantation for Clostridium difficile infection</w:t>
      </w:r>
    </w:p>
    <w:p w14:paraId="575D5DD0" w14:textId="24610C02" w:rsidR="00787297" w:rsidRPr="00787297" w:rsidRDefault="00787297" w:rsidP="007872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 w:rsidRPr="00787297">
        <w:rPr>
          <w:rFonts w:ascii="Tahoma" w:hAnsi="Tahoma" w:cs="Tahoma"/>
          <w:sz w:val="22"/>
          <w:szCs w:val="22"/>
        </w:rPr>
        <w:t>Weight Gain After Fecal Microbiota Transplantation</w:t>
      </w:r>
    </w:p>
    <w:p w14:paraId="42DAE0E0" w14:textId="4ADAC37B" w:rsidR="00937348" w:rsidRDefault="00BC687B" w:rsidP="000E3FFB">
      <w:pPr>
        <w:jc w:val="center"/>
        <w:rPr>
          <w:rFonts w:ascii="Calibri" w:hAnsi="Calibri"/>
          <w:color w:val="215E1C"/>
          <w:sz w:val="22"/>
          <w:szCs w:val="22"/>
        </w:rPr>
      </w:pPr>
      <w:r w:rsidRPr="00730018">
        <w:rPr>
          <w:rFonts w:ascii="Calibri" w:hAnsi="Calibri"/>
          <w:color w:val="215E1C"/>
          <w:sz w:val="22"/>
          <w:szCs w:val="22"/>
        </w:rPr>
        <w:t>One of our GCDA member</w:t>
      </w:r>
      <w:r w:rsidR="00A73C19" w:rsidRPr="00730018">
        <w:rPr>
          <w:rFonts w:ascii="Calibri" w:hAnsi="Calibri"/>
          <w:color w:val="215E1C"/>
          <w:sz w:val="22"/>
          <w:szCs w:val="22"/>
        </w:rPr>
        <w:t xml:space="preserve"> benefits are our </w:t>
      </w:r>
      <w:r w:rsidR="00D53590" w:rsidRPr="00730018">
        <w:rPr>
          <w:rFonts w:ascii="Calibri" w:hAnsi="Calibri"/>
          <w:color w:val="215E1C"/>
          <w:sz w:val="22"/>
          <w:szCs w:val="22"/>
        </w:rPr>
        <w:t xml:space="preserve">2 </w:t>
      </w:r>
      <w:r w:rsidR="00A73C19" w:rsidRPr="00730018">
        <w:rPr>
          <w:rFonts w:ascii="Calibri" w:hAnsi="Calibri"/>
          <w:color w:val="215E1C"/>
          <w:sz w:val="22"/>
          <w:szCs w:val="22"/>
        </w:rPr>
        <w:t>Journal Clubs, o</w:t>
      </w:r>
      <w:r w:rsidRPr="00730018">
        <w:rPr>
          <w:rFonts w:ascii="Calibri" w:hAnsi="Calibri"/>
          <w:color w:val="215E1C"/>
          <w:sz w:val="22"/>
          <w:szCs w:val="22"/>
        </w:rPr>
        <w:t xml:space="preserve">ne on the east side and one on the west side. The group picks the topics – the coordinator selects 10 or so articles on that topic. Members who would like to attend </w:t>
      </w:r>
      <w:r w:rsidR="006D60DB" w:rsidRPr="00730018">
        <w:rPr>
          <w:rFonts w:ascii="Calibri" w:hAnsi="Calibri"/>
          <w:color w:val="215E1C"/>
          <w:sz w:val="22"/>
          <w:szCs w:val="22"/>
        </w:rPr>
        <w:t xml:space="preserve">should </w:t>
      </w:r>
      <w:r w:rsidRPr="00730018">
        <w:rPr>
          <w:rFonts w:ascii="Calibri" w:hAnsi="Calibri"/>
          <w:color w:val="215E1C"/>
          <w:sz w:val="22"/>
          <w:szCs w:val="22"/>
        </w:rPr>
        <w:t>contact the coo</w:t>
      </w:r>
      <w:r w:rsidR="006D60DB" w:rsidRPr="00730018">
        <w:rPr>
          <w:rFonts w:ascii="Calibri" w:hAnsi="Calibri"/>
          <w:color w:val="215E1C"/>
          <w:sz w:val="22"/>
          <w:szCs w:val="22"/>
        </w:rPr>
        <w:t>rdinator and request an article. E</w:t>
      </w:r>
      <w:r w:rsidRPr="00730018">
        <w:rPr>
          <w:rFonts w:ascii="Calibri" w:hAnsi="Calibri"/>
          <w:color w:val="215E1C"/>
          <w:sz w:val="22"/>
          <w:szCs w:val="22"/>
        </w:rPr>
        <w:t xml:space="preserve">ach member </w:t>
      </w:r>
      <w:r w:rsidR="006D60DB" w:rsidRPr="00730018">
        <w:rPr>
          <w:rFonts w:ascii="Calibri" w:hAnsi="Calibri"/>
          <w:color w:val="215E1C"/>
          <w:sz w:val="22"/>
          <w:szCs w:val="22"/>
        </w:rPr>
        <w:t>should review the</w:t>
      </w:r>
      <w:r w:rsidRPr="00730018">
        <w:rPr>
          <w:rFonts w:ascii="Calibri" w:hAnsi="Calibri"/>
          <w:color w:val="215E1C"/>
          <w:sz w:val="22"/>
          <w:szCs w:val="22"/>
        </w:rPr>
        <w:t xml:space="preserve"> article and presents a summary of the article.</w:t>
      </w:r>
      <w:r w:rsidR="00D53590" w:rsidRPr="00730018">
        <w:rPr>
          <w:rFonts w:ascii="Calibri" w:hAnsi="Calibri"/>
          <w:color w:val="215E1C"/>
          <w:sz w:val="22"/>
          <w:szCs w:val="22"/>
        </w:rPr>
        <w:t xml:space="preserve"> </w:t>
      </w:r>
      <w:r w:rsidR="006D60DB" w:rsidRPr="00730018">
        <w:rPr>
          <w:rFonts w:ascii="Calibri" w:hAnsi="Calibri"/>
          <w:color w:val="215E1C"/>
          <w:sz w:val="22"/>
          <w:szCs w:val="22"/>
        </w:rPr>
        <w:t>After each member presents the group will</w:t>
      </w:r>
      <w:r w:rsidRPr="00730018">
        <w:rPr>
          <w:rFonts w:ascii="Calibri" w:hAnsi="Calibri"/>
          <w:color w:val="215E1C"/>
          <w:sz w:val="22"/>
          <w:szCs w:val="22"/>
        </w:rPr>
        <w:t xml:space="preserve"> discuss the topic. It is </w:t>
      </w:r>
      <w:r w:rsidR="00D53590" w:rsidRPr="00730018">
        <w:rPr>
          <w:rFonts w:ascii="Calibri" w:hAnsi="Calibri"/>
          <w:color w:val="215E1C"/>
          <w:sz w:val="22"/>
          <w:szCs w:val="22"/>
        </w:rPr>
        <w:t>a small group, nice discussion</w:t>
      </w:r>
      <w:r w:rsidRPr="00730018">
        <w:rPr>
          <w:rFonts w:ascii="Calibri" w:hAnsi="Calibri"/>
          <w:color w:val="215E1C"/>
          <w:sz w:val="22"/>
          <w:szCs w:val="22"/>
        </w:rPr>
        <w:t>.</w:t>
      </w:r>
      <w:r w:rsidR="00D53590" w:rsidRPr="00730018">
        <w:rPr>
          <w:rFonts w:ascii="Calibri" w:hAnsi="Calibri"/>
          <w:color w:val="215E1C"/>
          <w:sz w:val="22"/>
          <w:szCs w:val="22"/>
        </w:rPr>
        <w:t xml:space="preserve">  Please plan to join us.</w:t>
      </w:r>
      <w:bookmarkStart w:id="0" w:name="_GoBack"/>
      <w:bookmarkEnd w:id="0"/>
    </w:p>
    <w:p w14:paraId="36D9AF07" w14:textId="27202248" w:rsidR="00F85F0F" w:rsidRDefault="00F85F0F" w:rsidP="00F85F0F">
      <w:pPr>
        <w:pStyle w:val="Title"/>
      </w:pPr>
      <w:r>
        <w:lastRenderedPageBreak/>
        <w:t xml:space="preserve">Journal Club East – </w:t>
      </w:r>
      <w:r>
        <w:t>1/9/18</w:t>
      </w:r>
    </w:p>
    <w:p w14:paraId="581C7303" w14:textId="77777777" w:rsidR="00F85F0F" w:rsidRPr="00A82BA3" w:rsidRDefault="00F85F0F" w:rsidP="00F85F0F">
      <w:pPr>
        <w:pStyle w:val="Subtitle"/>
      </w:pPr>
      <w:r>
        <w:t>More information on this meeting’s articles</w:t>
      </w:r>
    </w:p>
    <w:p w14:paraId="2E17E0B4" w14:textId="77777777" w:rsidR="00F85F0F" w:rsidRPr="00823012" w:rsidRDefault="00F85F0F" w:rsidP="00F85F0F">
      <w:r w:rsidRPr="009D293A">
        <w:rPr>
          <w:b/>
        </w:rPr>
        <w:t>Objective:</w:t>
      </w:r>
      <w:r w:rsidRPr="00823012">
        <w:t xml:space="preserve"> To update our knowledge and understanding of </w:t>
      </w:r>
      <w:r>
        <w:t>the gut microbiome and related current innovations in research in</w:t>
      </w:r>
      <w:r w:rsidRPr="00823012">
        <w:t xml:space="preserve"> order to practice dietetics in a way that builds health and is up to date and evidence based.</w:t>
      </w:r>
    </w:p>
    <w:p w14:paraId="65143015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proofErr w:type="spellStart"/>
      <w:r w:rsidRPr="002926E0">
        <w:rPr>
          <w:rFonts w:ascii="Helvetica" w:hAnsi="Helvetica"/>
          <w:color w:val="333333"/>
          <w:sz w:val="18"/>
          <w:szCs w:val="18"/>
          <w:lang w:val="en"/>
        </w:rPr>
        <w:t>Deehan</w:t>
      </w:r>
      <w:proofErr w:type="spellEnd"/>
      <w:r w:rsidRPr="002926E0">
        <w:rPr>
          <w:rFonts w:ascii="Helvetica" w:hAnsi="Helvetica"/>
          <w:color w:val="333333"/>
          <w:sz w:val="18"/>
          <w:szCs w:val="18"/>
          <w:lang w:val="en"/>
        </w:rPr>
        <w:t>, Edward C., and Jens Walter. “The Fiber Gap and the Disappearing Gut Microbiome: Implications for Human Nutrition.” Trends in Endocrinology &amp; Metabolism, vol. 27, no. 5, 2016, pp. 239–</w:t>
      </w:r>
      <w:proofErr w:type="gramStart"/>
      <w:r w:rsidRPr="002926E0">
        <w:rPr>
          <w:rFonts w:ascii="Helvetica" w:hAnsi="Helvetica"/>
          <w:color w:val="333333"/>
          <w:sz w:val="18"/>
          <w:szCs w:val="18"/>
          <w:lang w:val="en"/>
        </w:rPr>
        <w:t>242.,</w:t>
      </w:r>
      <w:proofErr w:type="gramEnd"/>
      <w:r w:rsidRPr="002926E0">
        <w:rPr>
          <w:rFonts w:ascii="Helvetica" w:hAnsi="Helvetica"/>
          <w:color w:val="333333"/>
          <w:sz w:val="18"/>
          <w:szCs w:val="18"/>
          <w:lang w:val="en"/>
        </w:rPr>
        <w:t xml:space="preserve"> doi:10.1016/j.tem.2016.03.001.</w:t>
      </w:r>
    </w:p>
    <w:p w14:paraId="52857589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r w:rsidRPr="00021FCA">
        <w:rPr>
          <w:rFonts w:ascii="Helvetica" w:hAnsi="Helvetica"/>
          <w:color w:val="333333"/>
          <w:sz w:val="18"/>
          <w:szCs w:val="18"/>
          <w:lang w:val="en"/>
        </w:rPr>
        <w:t>Xu, Z., &amp; Knight, R. (2015). Dietary effects on human gut microbiome diversity. British Journal of Nutrition, 113(S1), S1-S5. doi:10.1017/S0007114514004127</w:t>
      </w:r>
    </w:p>
    <w:p w14:paraId="64FAF5CA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Tian,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Hongliang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&amp; Ding, Chao &amp; Gong,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Jianfeng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&amp;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Xiaolong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ge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&amp;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Mcfarland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Lynne &amp;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Gu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Lili &amp; Wei, Yao &amp; Chen,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Qiyi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&amp; Zhu,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Weiming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&amp; Li,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Jieshou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&amp; Li, Ning. (2016). Treatment of Slow Transit Constipation </w:t>
      </w:r>
      <w:proofErr w:type="gramStart"/>
      <w:r w:rsidRPr="00021FCA">
        <w:rPr>
          <w:rFonts w:ascii="Helvetica" w:hAnsi="Helvetica"/>
          <w:color w:val="333333"/>
          <w:sz w:val="18"/>
          <w:szCs w:val="18"/>
          <w:lang w:val="en"/>
        </w:rPr>
        <w:t>With</w:t>
      </w:r>
      <w:proofErr w:type="gram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Fecal Microbiota Transplantation: A Pilot Study. Journal of clinical gastroenterology. 50</w:t>
      </w:r>
      <w:proofErr w:type="gramStart"/>
      <w:r w:rsidRPr="00021FCA">
        <w:rPr>
          <w:rFonts w:ascii="Helvetica" w:hAnsi="Helvetica"/>
          <w:color w:val="333333"/>
          <w:sz w:val="18"/>
          <w:szCs w:val="18"/>
          <w:lang w:val="en"/>
        </w:rPr>
        <w:t>. .</w:t>
      </w:r>
      <w:proofErr w:type="gram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 10.1097/MCG.0000000000000472.</w:t>
      </w:r>
    </w:p>
    <w:p w14:paraId="0AB42B3D" w14:textId="77777777" w:rsidR="00F85F0F" w:rsidRPr="00021FCA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A.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Vrieze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P.F. de Groot, R.S.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Kootte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M.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Knaapen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E. van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Nood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M. </w:t>
      </w:r>
      <w:proofErr w:type="spellStart"/>
      <w:r w:rsidRPr="00021FCA">
        <w:rPr>
          <w:rFonts w:ascii="Helvetica" w:hAnsi="Helvetica"/>
          <w:color w:val="333333"/>
          <w:sz w:val="18"/>
          <w:szCs w:val="18"/>
          <w:lang w:val="en"/>
        </w:rPr>
        <w:t>Nieuwdorp</w:t>
      </w:r>
      <w:proofErr w:type="spellEnd"/>
      <w:r w:rsidRPr="00021FCA">
        <w:rPr>
          <w:rFonts w:ascii="Helvetica" w:hAnsi="Helvetica"/>
          <w:color w:val="333333"/>
          <w:sz w:val="18"/>
          <w:szCs w:val="18"/>
          <w:lang w:val="en"/>
        </w:rPr>
        <w:t xml:space="preserve">, Fecal transplant: A safe and sustainable clinical therapy for restoring intestinal microbial balance in human disease?, In Best Practice &amp; Research Clinical Gastroenterology, Volume 27, Issue 1, 2013, Pages 127-137, ISSN 1521-6918, </w:t>
      </w:r>
      <w:r w:rsidRPr="005E4FE3">
        <w:rPr>
          <w:rFonts w:ascii="Helvetica" w:hAnsi="Helvetica"/>
          <w:color w:val="333333"/>
          <w:sz w:val="18"/>
          <w:szCs w:val="18"/>
          <w:lang w:val="en"/>
        </w:rPr>
        <w:t>https://doi.org/10.1016/j.bpg.2013.03.003</w:t>
      </w:r>
      <w:r w:rsidRPr="00021FCA">
        <w:rPr>
          <w:rFonts w:ascii="Helvetica" w:hAnsi="Helvetica"/>
          <w:color w:val="333333"/>
          <w:sz w:val="18"/>
          <w:szCs w:val="18"/>
          <w:lang w:val="en"/>
        </w:rPr>
        <w:t>.</w:t>
      </w:r>
    </w:p>
    <w:p w14:paraId="3CEB895E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r w:rsidRPr="005E4FE3">
        <w:rPr>
          <w:rFonts w:ascii="Helvetica" w:hAnsi="Helvetica"/>
          <w:color w:val="333333"/>
          <w:sz w:val="18"/>
          <w:szCs w:val="18"/>
          <w:lang w:val="en"/>
        </w:rPr>
        <w:t>Vestal, Richard. “Fecal Microbiota Transplant.” Hospital Medicine Clinics, vol. 5, no. 1, 2016, pp. 58–70., doi:10.1016/j.ehmc.2015.08.006.</w:t>
      </w:r>
    </w:p>
    <w:p w14:paraId="3301BC8E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proofErr w:type="spellStart"/>
      <w:r w:rsidRPr="00B75507">
        <w:rPr>
          <w:rFonts w:ascii="Helvetica" w:hAnsi="Helvetica"/>
          <w:color w:val="333333"/>
          <w:sz w:val="18"/>
          <w:szCs w:val="18"/>
          <w:lang w:val="en"/>
        </w:rPr>
        <w:t>Mazidi</w:t>
      </w:r>
      <w:proofErr w:type="spellEnd"/>
      <w:r w:rsidRPr="00B75507">
        <w:rPr>
          <w:rFonts w:ascii="Helvetica" w:hAnsi="Helvetica"/>
          <w:color w:val="333333"/>
          <w:sz w:val="18"/>
          <w:szCs w:val="18"/>
          <w:lang w:val="en"/>
        </w:rPr>
        <w:t>, Mohsen, et al. “Gut Microbiome and Metabolic Syndrome.” Diabetes &amp; Metabolic Syndrome: Clinical Research &amp; Reviews, vol. 10, no. 2, 2016, doi:10.1016/j.dsx.2016.01.024.</w:t>
      </w:r>
    </w:p>
    <w:p w14:paraId="64AB7285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proofErr w:type="spellStart"/>
      <w:r w:rsidRPr="00ED37F6">
        <w:rPr>
          <w:rFonts w:ascii="Helvetica" w:hAnsi="Helvetica"/>
          <w:color w:val="333333"/>
          <w:sz w:val="18"/>
          <w:szCs w:val="18"/>
          <w:lang w:val="en"/>
        </w:rPr>
        <w:t>Kootte</w:t>
      </w:r>
      <w:proofErr w:type="spellEnd"/>
      <w:r w:rsidRPr="00ED37F6">
        <w:rPr>
          <w:rFonts w:ascii="Helvetica" w:hAnsi="Helvetica"/>
          <w:color w:val="333333"/>
          <w:sz w:val="18"/>
          <w:szCs w:val="18"/>
          <w:lang w:val="en"/>
        </w:rPr>
        <w:t>, Ruud S., et al. “Improvement of Insulin Sensitivity after Lean Donor Feces in Metabolic Syndrome Is Driven by Baseline Intestinal Microbiota Composition.” Cell Metabolism, vol. 26, no. 4, 2017, doi:10.1016/j.cmet.2017.09.008.</w:t>
      </w:r>
    </w:p>
    <w:p w14:paraId="2055377A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proofErr w:type="spellStart"/>
      <w:r w:rsidRPr="00ED37F6">
        <w:rPr>
          <w:rFonts w:ascii="Helvetica" w:hAnsi="Helvetica"/>
          <w:color w:val="333333"/>
          <w:sz w:val="18"/>
          <w:szCs w:val="18"/>
          <w:lang w:val="en"/>
        </w:rPr>
        <w:t>Pinn</w:t>
      </w:r>
      <w:proofErr w:type="spellEnd"/>
      <w:r w:rsidRPr="00ED37F6">
        <w:rPr>
          <w:rFonts w:ascii="Helvetica" w:hAnsi="Helvetica"/>
          <w:color w:val="333333"/>
          <w:sz w:val="18"/>
          <w:szCs w:val="18"/>
          <w:lang w:val="en"/>
        </w:rPr>
        <w:t xml:space="preserve">, D. M., et al. “Is Fecal Microbiota Transplantation (FMT) an Effective Treatment for Patients with Functional Gastrointestinal Disorders (FGID)?” </w:t>
      </w:r>
      <w:proofErr w:type="spellStart"/>
      <w:r w:rsidRPr="00ED37F6">
        <w:rPr>
          <w:rFonts w:ascii="Helvetica" w:hAnsi="Helvetica"/>
          <w:color w:val="333333"/>
          <w:sz w:val="18"/>
          <w:szCs w:val="18"/>
          <w:lang w:val="en"/>
        </w:rPr>
        <w:t>Neurogastroenterology</w:t>
      </w:r>
      <w:proofErr w:type="spellEnd"/>
      <w:r w:rsidRPr="00ED37F6">
        <w:rPr>
          <w:rFonts w:ascii="Helvetica" w:hAnsi="Helvetica"/>
          <w:color w:val="333333"/>
          <w:sz w:val="18"/>
          <w:szCs w:val="18"/>
          <w:lang w:val="en"/>
        </w:rPr>
        <w:t xml:space="preserve"> &amp; Motility, vol. 27, no. 1, 2014, pp. 19–29., doi:10.1111/nmo.12479.</w:t>
      </w:r>
    </w:p>
    <w:p w14:paraId="003E1106" w14:textId="77777777" w:rsid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color w:val="333333"/>
          <w:sz w:val="18"/>
          <w:szCs w:val="18"/>
          <w:lang w:val="en"/>
        </w:rPr>
      </w:pPr>
      <w:proofErr w:type="spellStart"/>
      <w:r w:rsidRPr="002926E0">
        <w:rPr>
          <w:rFonts w:ascii="Helvetica" w:hAnsi="Helvetica"/>
          <w:color w:val="333333"/>
          <w:sz w:val="18"/>
          <w:szCs w:val="18"/>
          <w:lang w:val="en"/>
        </w:rPr>
        <w:t>Damman</w:t>
      </w:r>
      <w:proofErr w:type="spellEnd"/>
      <w:r w:rsidRPr="002926E0">
        <w:rPr>
          <w:rFonts w:ascii="Helvetica" w:hAnsi="Helvetica"/>
          <w:color w:val="333333"/>
          <w:sz w:val="18"/>
          <w:szCs w:val="18"/>
          <w:lang w:val="en"/>
        </w:rPr>
        <w:t xml:space="preserve">, Christopher J., et al. “Low Level Engraftment and Improvement Following a Single </w:t>
      </w:r>
      <w:proofErr w:type="spellStart"/>
      <w:r w:rsidRPr="002926E0">
        <w:rPr>
          <w:rFonts w:ascii="Helvetica" w:hAnsi="Helvetica"/>
          <w:color w:val="333333"/>
          <w:sz w:val="18"/>
          <w:szCs w:val="18"/>
          <w:lang w:val="en"/>
        </w:rPr>
        <w:t>Colonoscopic</w:t>
      </w:r>
      <w:proofErr w:type="spellEnd"/>
      <w:r w:rsidRPr="002926E0">
        <w:rPr>
          <w:rFonts w:ascii="Helvetica" w:hAnsi="Helvetica"/>
          <w:color w:val="333333"/>
          <w:sz w:val="18"/>
          <w:szCs w:val="18"/>
          <w:lang w:val="en"/>
        </w:rPr>
        <w:t xml:space="preserve"> Administration of Fecal Microbiota to Patients with Ulcerative Colitis.” </w:t>
      </w:r>
      <w:proofErr w:type="spellStart"/>
      <w:r w:rsidRPr="002926E0">
        <w:rPr>
          <w:rFonts w:ascii="Helvetica" w:hAnsi="Helvetica"/>
          <w:color w:val="333333"/>
          <w:sz w:val="18"/>
          <w:szCs w:val="18"/>
          <w:lang w:val="en"/>
        </w:rPr>
        <w:t>Plos</w:t>
      </w:r>
      <w:proofErr w:type="spellEnd"/>
      <w:r w:rsidRPr="002926E0">
        <w:rPr>
          <w:rFonts w:ascii="Helvetica" w:hAnsi="Helvetica"/>
          <w:color w:val="333333"/>
          <w:sz w:val="18"/>
          <w:szCs w:val="18"/>
          <w:lang w:val="en"/>
        </w:rPr>
        <w:t xml:space="preserve"> One, vol. 10, no. 8, 2015, doi:10.1371/journal.pone.0133925.</w:t>
      </w:r>
    </w:p>
    <w:p w14:paraId="681FD484" w14:textId="77777777" w:rsidR="00F85F0F" w:rsidRP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sz w:val="18"/>
          <w:szCs w:val="18"/>
          <w:lang w:val="en"/>
        </w:rPr>
      </w:pPr>
      <w:r w:rsidRPr="00F85F0F">
        <w:rPr>
          <w:rFonts w:ascii="Helvetica" w:hAnsi="Helvetica"/>
          <w:sz w:val="18"/>
          <w:szCs w:val="18"/>
          <w:lang w:val="en"/>
        </w:rPr>
        <w:t xml:space="preserve">Harley, Isaac </w:t>
      </w:r>
      <w:proofErr w:type="spellStart"/>
      <w:r w:rsidRPr="00F85F0F">
        <w:rPr>
          <w:rFonts w:ascii="Helvetica" w:hAnsi="Helvetica"/>
          <w:sz w:val="18"/>
          <w:szCs w:val="18"/>
          <w:lang w:val="en"/>
        </w:rPr>
        <w:t>T.w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>., and Christopher L. Karp. “Obesity and the Gut Microbiome: Striving for Causality.” Molecular Metabolism, vol. 1, no. 1-2, 2012, pp. 21–31., doi:10.1016/j.molmet.2012.07.002.</w:t>
      </w:r>
    </w:p>
    <w:p w14:paraId="2828B4C8" w14:textId="77777777" w:rsidR="00F85F0F" w:rsidRP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sz w:val="18"/>
          <w:szCs w:val="18"/>
          <w:lang w:val="en"/>
        </w:rPr>
      </w:pPr>
      <w:r w:rsidRPr="00F85F0F">
        <w:rPr>
          <w:rFonts w:ascii="Helvetica" w:hAnsi="Helvetica"/>
          <w:sz w:val="18"/>
          <w:szCs w:val="18"/>
          <w:lang w:val="en"/>
        </w:rPr>
        <w:t>Moeller, Andrew H. “The Shrinking Human Gut Microbiome.” Current Opinion in Microbiology, vol. 38, 2017, pp. 30–35., doi:10.1016/j.mib.2017.04.002.</w:t>
      </w:r>
    </w:p>
    <w:p w14:paraId="3CAC22F1" w14:textId="77777777" w:rsidR="00F85F0F" w:rsidRP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sz w:val="18"/>
          <w:szCs w:val="18"/>
          <w:lang w:val="en"/>
        </w:rPr>
      </w:pPr>
      <w:proofErr w:type="spellStart"/>
      <w:r w:rsidRPr="00F85F0F">
        <w:rPr>
          <w:rFonts w:ascii="Helvetica" w:hAnsi="Helvetica"/>
          <w:sz w:val="18"/>
          <w:szCs w:val="18"/>
          <w:lang w:val="en"/>
        </w:rPr>
        <w:t>Bouter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 xml:space="preserve">, </w:t>
      </w:r>
      <w:proofErr w:type="spellStart"/>
      <w:r w:rsidRPr="00F85F0F">
        <w:rPr>
          <w:rFonts w:ascii="Helvetica" w:hAnsi="Helvetica"/>
          <w:sz w:val="18"/>
          <w:szCs w:val="18"/>
          <w:lang w:val="en"/>
        </w:rPr>
        <w:t>Kristien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 xml:space="preserve"> E., et al. “Role of the Gut Microbiome in the Pathogenesis of Obesity and Obesity-Related Metabolic Dysfunction.” Gastroenterology, vol. 152, no. 7, 2017, pp. 1671–1678., doi:10.1053/j.gastro.2016.12.048.</w:t>
      </w:r>
    </w:p>
    <w:p w14:paraId="32C53990" w14:textId="77777777" w:rsidR="00F85F0F" w:rsidRPr="00F85F0F" w:rsidRDefault="00F85F0F" w:rsidP="00F85F0F">
      <w:pPr>
        <w:pStyle w:val="body-paragraph4"/>
        <w:numPr>
          <w:ilvl w:val="0"/>
          <w:numId w:val="11"/>
        </w:numPr>
        <w:rPr>
          <w:rFonts w:ascii="Helvetica" w:hAnsi="Helvetica"/>
          <w:sz w:val="18"/>
          <w:szCs w:val="18"/>
          <w:lang w:val="en"/>
        </w:rPr>
      </w:pPr>
      <w:r w:rsidRPr="00F85F0F">
        <w:rPr>
          <w:rFonts w:ascii="Helvetica" w:hAnsi="Helvetica"/>
          <w:sz w:val="18"/>
          <w:szCs w:val="18"/>
          <w:lang w:val="en"/>
        </w:rPr>
        <w:t xml:space="preserve">Wang, Sinan, et al. “Systematic Review: Adverse Events of Fecal Microbiota Transplantation.” </w:t>
      </w:r>
      <w:proofErr w:type="spellStart"/>
      <w:r w:rsidRPr="00F85F0F">
        <w:rPr>
          <w:rFonts w:ascii="Helvetica" w:hAnsi="Helvetica"/>
          <w:sz w:val="18"/>
          <w:szCs w:val="18"/>
          <w:lang w:val="en"/>
        </w:rPr>
        <w:t>Plos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 xml:space="preserve"> One, vol. 11, no. 8, 2016, doi:10.1371/journal.pone.0161174.</w:t>
      </w:r>
    </w:p>
    <w:p w14:paraId="7FB32AA9" w14:textId="77777777" w:rsidR="00F85F0F" w:rsidRPr="00F85F0F" w:rsidRDefault="00F85F0F" w:rsidP="00BE0866">
      <w:pPr>
        <w:pStyle w:val="body-paragraph4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 w:rsidRPr="00F85F0F">
        <w:rPr>
          <w:rFonts w:ascii="Helvetica" w:hAnsi="Helvetica"/>
          <w:sz w:val="18"/>
          <w:szCs w:val="18"/>
          <w:lang w:val="en"/>
        </w:rPr>
        <w:t>Quraishi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 xml:space="preserve">, M. N., et al. “Systematic Review with Meta-Analysis: the Efficacy of </w:t>
      </w:r>
      <w:proofErr w:type="spellStart"/>
      <w:r w:rsidRPr="00F85F0F">
        <w:rPr>
          <w:rFonts w:ascii="Helvetica" w:hAnsi="Helvetica"/>
          <w:sz w:val="18"/>
          <w:szCs w:val="18"/>
          <w:lang w:val="en"/>
        </w:rPr>
        <w:t>Faecal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 xml:space="preserve"> Microbiota Transplantation for the Treatment of Recurrent and Refractory Clostridium Difficile Infection.” Alimentary Pharmacology &amp; Therapeutics, vol. 46, no. 5, 2017, pp. 479–493., doi:10.1111/apt.14201.</w:t>
      </w:r>
    </w:p>
    <w:p w14:paraId="63D2EB76" w14:textId="17788437" w:rsidR="00F85F0F" w:rsidRPr="00F85F0F" w:rsidRDefault="00F85F0F" w:rsidP="00BE0866">
      <w:pPr>
        <w:pStyle w:val="body-paragraph4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 w:rsidRPr="00F85F0F">
        <w:rPr>
          <w:rFonts w:ascii="Helvetica" w:hAnsi="Helvetica"/>
          <w:sz w:val="18"/>
          <w:szCs w:val="18"/>
          <w:lang w:val="en"/>
        </w:rPr>
        <w:t>Alang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 xml:space="preserve">, N., and C. R. Kelly. “Weight Gain </w:t>
      </w:r>
      <w:proofErr w:type="gramStart"/>
      <w:r w:rsidRPr="00F85F0F">
        <w:rPr>
          <w:rFonts w:ascii="Helvetica" w:hAnsi="Helvetica"/>
          <w:sz w:val="18"/>
          <w:szCs w:val="18"/>
          <w:lang w:val="en"/>
        </w:rPr>
        <w:t>After</w:t>
      </w:r>
      <w:proofErr w:type="gramEnd"/>
      <w:r w:rsidRPr="00F85F0F">
        <w:rPr>
          <w:rFonts w:ascii="Helvetica" w:hAnsi="Helvetica"/>
          <w:sz w:val="18"/>
          <w:szCs w:val="18"/>
          <w:lang w:val="en"/>
        </w:rPr>
        <w:t xml:space="preserve"> Fecal Microbiota Transplantation.” Open Forum Infectious Diseases, vol. 2, no. 1, Jan. 2015, doi:10.1093/</w:t>
      </w:r>
      <w:proofErr w:type="spellStart"/>
      <w:r w:rsidRPr="00F85F0F">
        <w:rPr>
          <w:rFonts w:ascii="Helvetica" w:hAnsi="Helvetica"/>
          <w:sz w:val="18"/>
          <w:szCs w:val="18"/>
          <w:lang w:val="en"/>
        </w:rPr>
        <w:t>ofid</w:t>
      </w:r>
      <w:proofErr w:type="spellEnd"/>
      <w:r w:rsidRPr="00F85F0F">
        <w:rPr>
          <w:rFonts w:ascii="Helvetica" w:hAnsi="Helvetica"/>
          <w:sz w:val="18"/>
          <w:szCs w:val="18"/>
          <w:lang w:val="en"/>
        </w:rPr>
        <w:t>/ofv004.</w:t>
      </w:r>
    </w:p>
    <w:sectPr w:rsidR="00F85F0F" w:rsidRPr="00F85F0F" w:rsidSect="00327B8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B09"/>
    <w:multiLevelType w:val="hybridMultilevel"/>
    <w:tmpl w:val="6536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E40"/>
    <w:multiLevelType w:val="hybridMultilevel"/>
    <w:tmpl w:val="A4387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FB4"/>
    <w:multiLevelType w:val="hybridMultilevel"/>
    <w:tmpl w:val="D622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5B9C"/>
    <w:multiLevelType w:val="hybridMultilevel"/>
    <w:tmpl w:val="49FC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842D9"/>
    <w:multiLevelType w:val="hybridMultilevel"/>
    <w:tmpl w:val="CDA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299E"/>
    <w:multiLevelType w:val="hybridMultilevel"/>
    <w:tmpl w:val="B296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634D9A"/>
    <w:multiLevelType w:val="hybridMultilevel"/>
    <w:tmpl w:val="73FC2732"/>
    <w:lvl w:ilvl="0" w:tplc="DEC6D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13F5D"/>
    <w:multiLevelType w:val="hybridMultilevel"/>
    <w:tmpl w:val="6846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73DB1"/>
    <w:multiLevelType w:val="hybridMultilevel"/>
    <w:tmpl w:val="63C6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703403"/>
    <w:multiLevelType w:val="hybridMultilevel"/>
    <w:tmpl w:val="344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16BC6"/>
    <w:multiLevelType w:val="hybridMultilevel"/>
    <w:tmpl w:val="7E66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7"/>
    <w:rsid w:val="00003992"/>
    <w:rsid w:val="00045080"/>
    <w:rsid w:val="00053113"/>
    <w:rsid w:val="000C02E5"/>
    <w:rsid w:val="000C5994"/>
    <w:rsid w:val="000C6C72"/>
    <w:rsid w:val="000C72FB"/>
    <w:rsid w:val="000D6D61"/>
    <w:rsid w:val="000E3FFB"/>
    <w:rsid w:val="0011799D"/>
    <w:rsid w:val="00122CF1"/>
    <w:rsid w:val="00180EDD"/>
    <w:rsid w:val="001B317D"/>
    <w:rsid w:val="001C560C"/>
    <w:rsid w:val="001D3320"/>
    <w:rsid w:val="001D51BF"/>
    <w:rsid w:val="00224A98"/>
    <w:rsid w:val="00251B7A"/>
    <w:rsid w:val="00262DAA"/>
    <w:rsid w:val="002B4029"/>
    <w:rsid w:val="00311668"/>
    <w:rsid w:val="00320058"/>
    <w:rsid w:val="00320A62"/>
    <w:rsid w:val="00327B8D"/>
    <w:rsid w:val="00372D65"/>
    <w:rsid w:val="003C061B"/>
    <w:rsid w:val="003C11F8"/>
    <w:rsid w:val="003D0907"/>
    <w:rsid w:val="003E71A1"/>
    <w:rsid w:val="00407B68"/>
    <w:rsid w:val="004135B8"/>
    <w:rsid w:val="00444C43"/>
    <w:rsid w:val="00445481"/>
    <w:rsid w:val="00461670"/>
    <w:rsid w:val="00462F3B"/>
    <w:rsid w:val="00474A79"/>
    <w:rsid w:val="0049186B"/>
    <w:rsid w:val="004A0F31"/>
    <w:rsid w:val="00523D21"/>
    <w:rsid w:val="00540DC1"/>
    <w:rsid w:val="00547A4F"/>
    <w:rsid w:val="0056422F"/>
    <w:rsid w:val="00580838"/>
    <w:rsid w:val="005A1A92"/>
    <w:rsid w:val="005D48F7"/>
    <w:rsid w:val="005E367A"/>
    <w:rsid w:val="005F5A4F"/>
    <w:rsid w:val="005F770A"/>
    <w:rsid w:val="00621F29"/>
    <w:rsid w:val="006449CB"/>
    <w:rsid w:val="006479EB"/>
    <w:rsid w:val="006659B8"/>
    <w:rsid w:val="00683AAF"/>
    <w:rsid w:val="00692A83"/>
    <w:rsid w:val="006B32E4"/>
    <w:rsid w:val="006D60DB"/>
    <w:rsid w:val="006E239E"/>
    <w:rsid w:val="00701250"/>
    <w:rsid w:val="00730018"/>
    <w:rsid w:val="00746CA1"/>
    <w:rsid w:val="00760DBC"/>
    <w:rsid w:val="007709E9"/>
    <w:rsid w:val="00787297"/>
    <w:rsid w:val="007A1B3E"/>
    <w:rsid w:val="007B712D"/>
    <w:rsid w:val="007D01C6"/>
    <w:rsid w:val="007E2818"/>
    <w:rsid w:val="00840551"/>
    <w:rsid w:val="00874D38"/>
    <w:rsid w:val="00887FA3"/>
    <w:rsid w:val="008C3FFC"/>
    <w:rsid w:val="00902B9E"/>
    <w:rsid w:val="009308E1"/>
    <w:rsid w:val="009366B7"/>
    <w:rsid w:val="00937348"/>
    <w:rsid w:val="00946C29"/>
    <w:rsid w:val="00982D45"/>
    <w:rsid w:val="009A2891"/>
    <w:rsid w:val="009B72EE"/>
    <w:rsid w:val="009D242B"/>
    <w:rsid w:val="009D281C"/>
    <w:rsid w:val="009F3310"/>
    <w:rsid w:val="00A16197"/>
    <w:rsid w:val="00A22336"/>
    <w:rsid w:val="00A45853"/>
    <w:rsid w:val="00A4734B"/>
    <w:rsid w:val="00A54E59"/>
    <w:rsid w:val="00A633C0"/>
    <w:rsid w:val="00A66737"/>
    <w:rsid w:val="00A73C19"/>
    <w:rsid w:val="00A9401F"/>
    <w:rsid w:val="00AB2569"/>
    <w:rsid w:val="00AF5034"/>
    <w:rsid w:val="00AF7080"/>
    <w:rsid w:val="00AF79B2"/>
    <w:rsid w:val="00B40278"/>
    <w:rsid w:val="00B5000B"/>
    <w:rsid w:val="00B75704"/>
    <w:rsid w:val="00B84953"/>
    <w:rsid w:val="00B97441"/>
    <w:rsid w:val="00BC687B"/>
    <w:rsid w:val="00BE1EF0"/>
    <w:rsid w:val="00C17042"/>
    <w:rsid w:val="00C24A99"/>
    <w:rsid w:val="00C30007"/>
    <w:rsid w:val="00C72D43"/>
    <w:rsid w:val="00C914C2"/>
    <w:rsid w:val="00CB5C2D"/>
    <w:rsid w:val="00CB70E3"/>
    <w:rsid w:val="00CC77CE"/>
    <w:rsid w:val="00CD6641"/>
    <w:rsid w:val="00CD68DE"/>
    <w:rsid w:val="00CF0ED6"/>
    <w:rsid w:val="00CF4FE1"/>
    <w:rsid w:val="00D02199"/>
    <w:rsid w:val="00D02D56"/>
    <w:rsid w:val="00D10C0B"/>
    <w:rsid w:val="00D145CC"/>
    <w:rsid w:val="00D53590"/>
    <w:rsid w:val="00D83659"/>
    <w:rsid w:val="00D83B12"/>
    <w:rsid w:val="00D85465"/>
    <w:rsid w:val="00DF3A99"/>
    <w:rsid w:val="00E26221"/>
    <w:rsid w:val="00E76C0A"/>
    <w:rsid w:val="00E91A23"/>
    <w:rsid w:val="00E93362"/>
    <w:rsid w:val="00EC084E"/>
    <w:rsid w:val="00ED160F"/>
    <w:rsid w:val="00EF57F4"/>
    <w:rsid w:val="00F0169E"/>
    <w:rsid w:val="00F06762"/>
    <w:rsid w:val="00F077CF"/>
    <w:rsid w:val="00F43EF1"/>
    <w:rsid w:val="00F64143"/>
    <w:rsid w:val="00F85F0F"/>
    <w:rsid w:val="00F8681A"/>
    <w:rsid w:val="00FD1F00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7C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D48F7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5D48F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20A62"/>
    <w:rPr>
      <w:rFonts w:cs="Times New Roman"/>
    </w:rPr>
  </w:style>
  <w:style w:type="character" w:styleId="Hyperlink">
    <w:name w:val="Hyperlink"/>
    <w:basedOn w:val="DefaultParagraphFont"/>
    <w:uiPriority w:val="99"/>
    <w:rsid w:val="00B7570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62F3B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12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F85F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85F0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5F0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body-paragraph4">
    <w:name w:val="body-paragraph4"/>
    <w:basedOn w:val="Normal"/>
    <w:rsid w:val="00F85F0F"/>
    <w:pPr>
      <w:spacing w:before="100" w:beforeAutospacing="1" w:after="100" w:afterAutospacing="1"/>
      <w:ind w:left="2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24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24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24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242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24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Eating Disorders:  Definitions, Awareness and Treatment</vt:lpstr>
    </vt:vector>
  </TitlesOfParts>
  <Company>SEMC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Eating Disorders:  Definitions, Awareness and Treatment</dc:title>
  <dc:creator>boriolo</dc:creator>
  <cp:lastModifiedBy>Cheung, Morgan (Morgan)</cp:lastModifiedBy>
  <cp:revision>15</cp:revision>
  <cp:lastPrinted>2015-10-09T12:20:00Z</cp:lastPrinted>
  <dcterms:created xsi:type="dcterms:W3CDTF">2017-11-28T19:03:00Z</dcterms:created>
  <dcterms:modified xsi:type="dcterms:W3CDTF">2017-12-11T13:50:00Z</dcterms:modified>
</cp:coreProperties>
</file>